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C54AAB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18A4" w14:textId="77777777" w:rsidR="00C0585A" w:rsidRDefault="00C0585A" w:rsidP="00387992">
      <w:pPr>
        <w:spacing w:after="0" w:line="240" w:lineRule="auto"/>
      </w:pPr>
      <w:r>
        <w:separator/>
      </w:r>
    </w:p>
  </w:endnote>
  <w:endnote w:type="continuationSeparator" w:id="0">
    <w:p w14:paraId="69D72949" w14:textId="77777777" w:rsidR="00C0585A" w:rsidRDefault="00C0585A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11D7E" w14:textId="77777777" w:rsidR="00C0585A" w:rsidRDefault="00C0585A" w:rsidP="00387992">
      <w:pPr>
        <w:spacing w:after="0" w:line="240" w:lineRule="auto"/>
      </w:pPr>
      <w:r>
        <w:separator/>
      </w:r>
    </w:p>
  </w:footnote>
  <w:footnote w:type="continuationSeparator" w:id="0">
    <w:p w14:paraId="6A894DFF" w14:textId="77777777" w:rsidR="00C0585A" w:rsidRDefault="00C0585A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rekonstravimas/_layouts/15/DocIdRedir.aspx?ID=PVIS-1940176663-205</Url>
      <Description>PVIS-1940176663-205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PVIS-1940176663-205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F2826-79F6-4096-985C-87A71BE90E4D}"/>
</file>

<file path=customXml/itemProps3.xml><?xml version="1.0" encoding="utf-8"?>
<ds:datastoreItem xmlns:ds="http://schemas.openxmlformats.org/officeDocument/2006/customXml" ds:itemID="{C606261A-E5FE-4534-BBB3-ED8408EED187}"/>
</file>

<file path=customXml/itemProps4.xml><?xml version="1.0" encoding="utf-8"?>
<ds:datastoreItem xmlns:ds="http://schemas.openxmlformats.org/officeDocument/2006/customXml" ds:itemID="{73635BB2-6393-437A-BFB8-8AEDF5146DF4}"/>
</file>

<file path=customXml/itemProps5.xml><?xml version="1.0" encoding="utf-8"?>
<ds:datastoreItem xmlns:ds="http://schemas.openxmlformats.org/officeDocument/2006/customXml" ds:itemID="{A11B16F9-2855-4F97-B6D0-64B90CC16F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Vytenis Povilas Čironis</cp:lastModifiedBy>
  <cp:revision>7</cp:revision>
  <cp:lastPrinted>2014-03-14T07:03:00Z</cp:lastPrinted>
  <dcterms:created xsi:type="dcterms:W3CDTF">2023-10-22T17:48:00Z</dcterms:created>
  <dcterms:modified xsi:type="dcterms:W3CDTF">2023-11-28T15:58:00Z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ed796eab-9033-4306-80ff-a583ee442f18</vt:lpwstr>
  </property>
</Properties>
</file>